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B7039">
      <w:pPr>
        <w:pStyle w:val="newncpi0"/>
        <w:jc w:val="center"/>
        <w:divId w:val="507911446"/>
      </w:pPr>
      <w:bookmarkStart w:id="0" w:name="_GoBack"/>
      <w:bookmarkEnd w:id="0"/>
      <w:r>
        <w:t> </w:t>
      </w:r>
    </w:p>
    <w:p w:rsidR="00000000" w:rsidRDefault="004B7039">
      <w:pPr>
        <w:pStyle w:val="newncpi0"/>
        <w:jc w:val="center"/>
        <w:divId w:val="507911446"/>
      </w:pPr>
      <w:bookmarkStart w:id="1" w:name="a3"/>
      <w:bookmarkEnd w:id="1"/>
      <w:r>
        <w:rPr>
          <w:rStyle w:val="name"/>
        </w:rPr>
        <w:t>ПОСТАНОВЛЕНИЕ </w:t>
      </w:r>
      <w:r>
        <w:rPr>
          <w:rStyle w:val="promulgator"/>
        </w:rPr>
        <w:t>МИНИСТЕРСТВА ЗДРАВООХРАНЕНИЯ РЕСПУБЛИКИ БЕЛАРУСЬ</w:t>
      </w:r>
    </w:p>
    <w:p w:rsidR="00000000" w:rsidRDefault="004B7039">
      <w:pPr>
        <w:pStyle w:val="newncpi"/>
        <w:ind w:firstLine="0"/>
        <w:jc w:val="center"/>
        <w:divId w:val="507911446"/>
      </w:pPr>
      <w:r>
        <w:rPr>
          <w:rStyle w:val="datepr"/>
        </w:rPr>
        <w:t>15 декабря 2017 г.</w:t>
      </w:r>
      <w:r>
        <w:rPr>
          <w:rStyle w:val="number"/>
        </w:rPr>
        <w:t xml:space="preserve"> № 108</w:t>
      </w:r>
    </w:p>
    <w:p w:rsidR="00000000" w:rsidRDefault="004B7039">
      <w:pPr>
        <w:pStyle w:val="titlencpi"/>
        <w:divId w:val="507911446"/>
      </w:pPr>
      <w:r>
        <w:rPr>
          <w:color w:val="000080"/>
        </w:rPr>
        <w:t>Об установлении перечней заболеваний, при наличии которых лица не могут быть усыновителями, приемными родителями, родителями-воспитателями детского дома семейного типа, детской деревни, детского городка, опекунами и попечителями</w:t>
      </w:r>
    </w:p>
    <w:p w:rsidR="00000000" w:rsidRDefault="004B7039">
      <w:pPr>
        <w:pStyle w:val="changei"/>
        <w:divId w:val="507911446"/>
      </w:pPr>
      <w:r>
        <w:t>Изменения и дополнения:</w:t>
      </w:r>
    </w:p>
    <w:p w:rsidR="00000000" w:rsidRDefault="004B7039">
      <w:pPr>
        <w:pStyle w:val="changeadd"/>
        <w:divId w:val="507911446"/>
      </w:pPr>
      <w:hyperlink r:id="rId4" w:anchor="a1" w:tooltip="-" w:history="1">
        <w:r>
          <w:rPr>
            <w:rStyle w:val="a3"/>
          </w:rPr>
          <w:t>Постановление</w:t>
        </w:r>
      </w:hyperlink>
      <w:r>
        <w:t xml:space="preserve"> Министерства здравоохранения Республики Беларусь от 9 августа 2022 г. № 81 (зарегистрировано в Национальном реестре - № 8/38679 от 07.09.2022 г.)</w:t>
      </w:r>
    </w:p>
    <w:p w:rsidR="00000000" w:rsidRDefault="004B7039">
      <w:pPr>
        <w:pStyle w:val="newncpi"/>
        <w:divId w:val="507911446"/>
      </w:pPr>
      <w:r>
        <w:t> </w:t>
      </w:r>
    </w:p>
    <w:p w:rsidR="00000000" w:rsidRDefault="004B7039">
      <w:pPr>
        <w:pStyle w:val="preamble"/>
        <w:divId w:val="507911446"/>
      </w:pPr>
      <w:r>
        <w:t xml:space="preserve">На основании </w:t>
      </w:r>
      <w:hyperlink r:id="rId5" w:anchor="a1598" w:tooltip="+" w:history="1">
        <w:r>
          <w:rPr>
            <w:rStyle w:val="a3"/>
          </w:rPr>
          <w:t>части второй</w:t>
        </w:r>
      </w:hyperlink>
      <w:r>
        <w:t xml:space="preserve"> статьи 125, </w:t>
      </w:r>
      <w:hyperlink r:id="rId6" w:anchor="a1605" w:tooltip="+" w:history="1">
        <w:r>
          <w:rPr>
            <w:rStyle w:val="a3"/>
          </w:rPr>
          <w:t>части второй</w:t>
        </w:r>
      </w:hyperlink>
      <w:r>
        <w:t xml:space="preserve"> статьи 153 и </w:t>
      </w:r>
      <w:hyperlink r:id="rId7" w:anchor="a1715" w:tooltip="+" w:history="1">
        <w:r>
          <w:rPr>
            <w:rStyle w:val="a3"/>
          </w:rPr>
          <w:t>части второй</w:t>
        </w:r>
      </w:hyperlink>
      <w:r>
        <w:t xml:space="preserve"> статьи 172 Кодекса Республики Беларусь о браке и семье, </w:t>
      </w:r>
      <w:hyperlink r:id="rId8" w:anchor="a163" w:tooltip="+" w:history="1">
        <w:r>
          <w:rPr>
            <w:rStyle w:val="a3"/>
          </w:rPr>
          <w:t>подпункта 9.1</w:t>
        </w:r>
      </w:hyperlink>
      <w:r>
        <w:t xml:space="preserve"> пункта 9 Положения о Министерстве здравоохранения Республики Беларусь, утвержденного постановлением Совета Министров Республики Беларусь от 28 октября 2011 г. № 1446, Министерство здравоох</w:t>
      </w:r>
      <w:r>
        <w:t>ранения Республики Беларусь ПОСТАНОВЛЯЕТ:</w:t>
      </w:r>
    </w:p>
    <w:p w:rsidR="00000000" w:rsidRDefault="004B7039">
      <w:pPr>
        <w:pStyle w:val="point"/>
        <w:divId w:val="507911446"/>
      </w:pPr>
      <w:r>
        <w:t>1. Установить:</w:t>
      </w:r>
    </w:p>
    <w:p w:rsidR="00000000" w:rsidRDefault="004B7039">
      <w:pPr>
        <w:pStyle w:val="newncpi"/>
        <w:divId w:val="507911446"/>
      </w:pPr>
      <w:r>
        <w:t xml:space="preserve">перечень заболеваний, при наличии которых лица не могут быть усыновителями, приемными родителями, родителями-воспитателями детского дома семейного типа, детской деревни, детского городка, согласно </w:t>
      </w:r>
      <w:hyperlink w:anchor="a8" w:tooltip="+" w:history="1">
        <w:r>
          <w:rPr>
            <w:rStyle w:val="a3"/>
          </w:rPr>
          <w:t>приложению 1</w:t>
        </w:r>
      </w:hyperlink>
      <w:r>
        <w:t>;</w:t>
      </w:r>
    </w:p>
    <w:p w:rsidR="00000000" w:rsidRDefault="004B7039">
      <w:pPr>
        <w:pStyle w:val="newncpi"/>
        <w:divId w:val="507911446"/>
      </w:pPr>
      <w:r>
        <w:t xml:space="preserve">перечень заболеваний, при наличии которых лица не могут быть опекунами и попечителями, согласно </w:t>
      </w:r>
      <w:hyperlink w:anchor="a2" w:tooltip="+" w:history="1">
        <w:r>
          <w:rPr>
            <w:rStyle w:val="a3"/>
          </w:rPr>
          <w:t>приложению 2</w:t>
        </w:r>
      </w:hyperlink>
      <w:r>
        <w:t>.</w:t>
      </w:r>
    </w:p>
    <w:p w:rsidR="00000000" w:rsidRDefault="004B7039">
      <w:pPr>
        <w:pStyle w:val="point"/>
        <w:divId w:val="507911446"/>
      </w:pPr>
      <w:r>
        <w:t>2. Настоящее постановление вступает в силу через пятнадцать дней после</w:t>
      </w:r>
      <w:r>
        <w:t xml:space="preserve"> его официального опубликования.</w:t>
      </w:r>
    </w:p>
    <w:p w:rsidR="00000000" w:rsidRDefault="004B7039">
      <w:pPr>
        <w:pStyle w:val="newncpi"/>
        <w:divId w:val="50791144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>
        <w:trPr>
          <w:divId w:val="50791144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4B7039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4B7039">
            <w:pPr>
              <w:pStyle w:val="newncpi0"/>
              <w:jc w:val="right"/>
            </w:pPr>
            <w:r>
              <w:rPr>
                <w:rStyle w:val="pers"/>
              </w:rPr>
              <w:t>В.А.Малашко</w:t>
            </w:r>
          </w:p>
        </w:tc>
      </w:tr>
    </w:tbl>
    <w:p w:rsidR="00000000" w:rsidRDefault="004B7039">
      <w:pPr>
        <w:pStyle w:val="newncpi0"/>
        <w:divId w:val="50791144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1"/>
        <w:gridCol w:w="3599"/>
      </w:tblGrid>
      <w:tr w:rsidR="00000000">
        <w:trPr>
          <w:divId w:val="507911446"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append1"/>
            </w:pPr>
            <w:bookmarkStart w:id="2" w:name="a8"/>
            <w:bookmarkEnd w:id="2"/>
            <w:r>
              <w:t>Приложение 1</w:t>
            </w:r>
          </w:p>
          <w:p w:rsidR="00000000" w:rsidRDefault="004B7039">
            <w:pPr>
              <w:pStyle w:val="append"/>
            </w:pPr>
            <w:r>
              <w:t xml:space="preserve">к </w:t>
            </w:r>
            <w:hyperlink w:anchor="a3" w:tooltip="+" w:history="1">
              <w:r>
                <w:rPr>
                  <w:rStyle w:val="a3"/>
                </w:rPr>
                <w:t>постановлению</w:t>
              </w:r>
            </w:hyperlink>
            <w:r>
              <w:t xml:space="preserve"> </w:t>
            </w:r>
            <w:r>
              <w:br/>
              <w:t xml:space="preserve">Министерства здравоохранения </w:t>
            </w:r>
            <w:r>
              <w:br/>
              <w:t xml:space="preserve">Республики Беларусь </w:t>
            </w:r>
            <w:r>
              <w:br/>
              <w:t xml:space="preserve">15.12.2017 № 108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здравоохранения </w:t>
            </w:r>
            <w:r>
              <w:br/>
            </w:r>
            <w:r>
              <w:t xml:space="preserve">Республики Беларусь </w:t>
            </w:r>
            <w:r>
              <w:br/>
              <w:t xml:space="preserve">09.08.2022 № 81) </w:t>
            </w:r>
          </w:p>
        </w:tc>
      </w:tr>
    </w:tbl>
    <w:p w:rsidR="00000000" w:rsidRDefault="004B7039">
      <w:pPr>
        <w:pStyle w:val="titlep"/>
        <w:jc w:val="left"/>
        <w:divId w:val="507911446"/>
      </w:pPr>
      <w:bookmarkStart w:id="3" w:name="a9"/>
      <w:bookmarkEnd w:id="3"/>
      <w:r>
        <w:t>ПЕРЕЧЕНЬ</w:t>
      </w:r>
      <w:r>
        <w:br/>
        <w:t>заболеваний, при наличии которых лица не могут быть усыновителями, приемными родителями, родителями-воспитателями детского дома семейного типа, детской деревни, детского городка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8"/>
        <w:gridCol w:w="2501"/>
        <w:gridCol w:w="3624"/>
        <w:gridCol w:w="4067"/>
      </w:tblGrid>
      <w:tr w:rsidR="00000000">
        <w:trPr>
          <w:divId w:val="507911446"/>
          <w:trHeight w:val="240"/>
        </w:trPr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B7039">
            <w:pPr>
              <w:pStyle w:val="table10"/>
              <w:jc w:val="center"/>
            </w:pPr>
            <w:r>
              <w:lastRenderedPageBreak/>
              <w:t>№</w:t>
            </w:r>
            <w:r>
              <w:br/>
              <w:t>п/п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B7039">
            <w:pPr>
              <w:pStyle w:val="table10"/>
              <w:jc w:val="center"/>
            </w:pPr>
            <w:r>
              <w:t>Код заболевания в соотв</w:t>
            </w:r>
            <w:r>
              <w:t>етствии с Международной статистической классификацией болезней и проблем, связанных со здоровьем, десятого пересмотра</w:t>
            </w:r>
          </w:p>
        </w:tc>
        <w:tc>
          <w:tcPr>
            <w:tcW w:w="1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B7039">
            <w:pPr>
              <w:pStyle w:val="table10"/>
              <w:jc w:val="center"/>
            </w:pPr>
            <w:r>
              <w:t>Наименование заболевания</w:t>
            </w:r>
          </w:p>
        </w:tc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B7039">
            <w:pPr>
              <w:pStyle w:val="table10"/>
              <w:jc w:val="center"/>
            </w:pPr>
            <w:r>
              <w:t>Примечание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I. НЕКОТОРЫЕ ИНФЕКЦИОННЫЕ И ПАРАЗИТАРНЫЕ БОЛЕЗНИ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A15-A19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Туберкулез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До прекращения дис</w:t>
            </w:r>
            <w:r>
              <w:t>пансерного наблюдения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А30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Лепра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 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A50-A53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Инфекции, передающиеся преимущественно половым путем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До окончания лечения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B20-B24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Болезнь, вызванная вирусом иммунодефицита человека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При сохранении определяемой вирусной нагрузки (более 500 копий вируса в 1 мкл крови) 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II. НОВООБРАЗОВАНИЯ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С00-С80, С97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Злокачественные новообразования 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2 или 4 клинических группах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С81-С96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Злокачественные новообразования лимфоидной, кроветворной и родственных им тканей 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До окончания специального лечения 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3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III. БОЛЕЗНИ КРОВИ, КРОВЕТВОРНЫХ ОРГАНОВ И ОТДЕЛЬНЫЕ НАРУШЕНИЯ, ВОВЛЕКАЮЩИЕ ИММУННЫЙ МЕХАНИЗМ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D55-D59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Гемолитические анемии</w:t>
            </w:r>
            <w:r>
              <w:t>, апластические и другие анемии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До 1 года после наступления ремиссии 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D65-D68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Нарушения свертываемости крови (наследственные и приобретенные дефициты факторов свертываемости, геморрагические нарушения, обусловленные циркулирующими в крови антикоагулян</w:t>
            </w:r>
            <w:r>
              <w:t>тами)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Тяжелое течение (уровень дефицитного фактора свертывания крови менее 1 %)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3.3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D69.3, D69.4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Идиопатическая тромбоцитопеническая пурпура и другие первичные тромбоцитопении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До 1 года после наступления ремиссии 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3.4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D70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Агранулоцитоз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уровне нейтрофилов в периферической крови 1,0 х 10</w:t>
            </w:r>
            <w:r>
              <w:rPr>
                <w:vertAlign w:val="superscript"/>
              </w:rPr>
              <w:t>9</w:t>
            </w:r>
            <w:r>
              <w:t>/л и ниже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3.5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D86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Саркоидоз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Активная фаза, прогрессирующее течение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IV. БОЛЕЗНИ ЭНДОКРИННОЙ СИСТЕМЫ, РАССТРОЙСТВА ПИТАНИЯ И НАРУШЕНИЯ ОБМЕНА ВЕЩЕСТВ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E10-E14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Сахарный диабет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частых (3 и более в год) тяжелых гипогликемических состояниях с нарушением сознания и (или) судорогами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Е00-Е07, Е20-Е35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Болезни щитовидной железы, нарушения функций других эндокринных желез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Состояние клинико-гормональной декомпенсации на фоне меди</w:t>
            </w:r>
            <w:r>
              <w:t>каментозной или заместительной терапии с выраженным и резко выраженным нарушением функций внутренней секреции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E40-E46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Недостаточность питания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энтерально-парентеральном или полном парентеральном питании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V. ПСИХИЧЕСКИЕ РАССТРОЙСТВА И </w:t>
            </w:r>
            <w:r>
              <w:t>РАССТРОЙСТВА ПОВЕДЕНИЯ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F00-F09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Органические, включая симптоматические, психические расстройства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За исключением органического тревожного расстройства (F06.4), органического эмоционально лабильного (астенического) расстройства (F06.6), органического т</w:t>
            </w:r>
            <w:r>
              <w:t>ревожно-депрессивного расстройства (F06.8)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F10-F19, за исключением F1х. 6, F1х. 71, F1х. 73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Психические расстройства и расстройства поведения, связанные с употреблением психоактивных веществ, за исключением амнестического синдрома, расстройства личнос</w:t>
            </w:r>
            <w:r>
              <w:t xml:space="preserve">ти </w:t>
            </w:r>
            <w:r>
              <w:lastRenderedPageBreak/>
              <w:t xml:space="preserve">и поведения, деменции, вызванной употреблением психоактивных веществ 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lastRenderedPageBreak/>
              <w:t>При отсутствии ремиссии более 5 лет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lastRenderedPageBreak/>
              <w:t>5.3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F1х. 6, F1х. 71, F1х. 73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Амнестический синдром, расстройство личности и поведения, деменция, вызванные употреблением психоактивных веществ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 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F20-F29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Шизофрения, шизотипическое расстройство, бредовые расстройства, острые и транзиторные психотические расстройства, шизоаффективные расстройства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 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F30-F39, за исключением F32.0-F32.1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Аффективные расстройства, за </w:t>
            </w:r>
            <w:r>
              <w:t>исключением депрессивного эпизода легкой и средней степени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До прекращения диспансерного наблюдения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F42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Обсессивно-компульсивное расстройство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неэффективности лечения (недостаточной компенсации состояния)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5.7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F44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Диссоциативное (конверсионное) расс</w:t>
            </w:r>
            <w:r>
              <w:t>тройство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 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F50-F59, за исключением F51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Поведенческие синдромы, связанные с физиологическими нарушениями и физическими факторами, за исключением расстройства сна неорганической природы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До прекращения диспансерного наблюдения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F60-F69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Расстройства личности и поведения в зрелом возрасте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 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F70-F79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Умственная отсталость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 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6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VI. БОЛЕЗНИ НЕРВНОЙ СИСТЕМЫ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G00-G37, G54-G99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Болезни нервной системы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заболеваниях с быстропрогрессирующим течением и последствиях заболеваний с </w:t>
            </w:r>
            <w:r>
              <w:t>выраженными, резко выраженными нарушениями статодинамической функции и (или) выраженных, резко выраженных нарушениях функций выделения вследствие недержания кала и (или) мочи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G40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Эпилепсия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При средней частоте и частых дневных генерализованных и (или) </w:t>
            </w:r>
            <w:r>
              <w:t>вторично генерализованных приступах (более 1 в месяц) на фоне фармакорезистентности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7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VII. БОЛЕЗНИ ГЛАЗА И ЕГО ПРИДАТОЧНОГО АППАРАТА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Н15-Н22, Н30-Н36, Н46-Н48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Болезни склеры, роговицы, радужной оболочки и </w:t>
            </w:r>
            <w:r>
              <w:t>цилиарного тела, сосудистой оболочки и сетчатки, зрительного нерва и зрительных путей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выраженных, резко выраженных нарушениях сенсорных функций (зрения)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Н40-Н42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Глаукома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4B7039">
            <w:pPr>
              <w:rPr>
                <w:sz w:val="20"/>
                <w:szCs w:val="20"/>
              </w:rPr>
            </w:pP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8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VIII. БОЛЕЗНИ УХА И СОСЦЕВИДНОГО ОТРОСТКА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8.1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Н65-Н75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Болезни ср</w:t>
            </w:r>
            <w:r>
              <w:t>еднего уха и сосцевидного отростка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Потеря слуха на лучше слышащее ухо (в случае асимметричной тугоухости) или на оба уха (в случае симметричной тугоухости), не корригируемая техническими средствами социальной реабилитации (слуховой аппарат воздушного звуко</w:t>
            </w:r>
            <w:r>
              <w:t>проведения, слуховой аппарат костной проводимости, имплантируемое устройство среднего уха (имплант среднего уха), кохлеарный имплант) при выраженных, резко выраженных нарушениях сенсорных функций (слуха)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8.2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H80-H83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Болезни внутреннего уха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4B7039">
            <w:pPr>
              <w:rPr>
                <w:sz w:val="20"/>
                <w:szCs w:val="20"/>
              </w:rPr>
            </w:pP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8.3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H90-H95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Другие болезни уха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4B7039">
            <w:pPr>
              <w:rPr>
                <w:sz w:val="20"/>
                <w:szCs w:val="20"/>
              </w:rPr>
            </w:pP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9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КЛАСС IX. БОЛЕЗНИ СИСТЕМЫ КРОВООБРАЩЕНИЯ 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9.1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I20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Стенокардия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Функциональный класс III, IV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9.2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I44-I49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Нарушения ритма и (или) проводимости сердца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При выраженном, резко выраженном нарушении гемодинамики, коронарного </w:t>
            </w:r>
            <w:r>
              <w:lastRenderedPageBreak/>
              <w:t>кровообращени</w:t>
            </w:r>
            <w:r>
              <w:t>я и (или) синкопальных состояниях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lastRenderedPageBreak/>
              <w:t>9.3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I50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Сердечная недостаточность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Н2Б, Н3 стадии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9.4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I70-I79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Болезни артерий, артериол и капилляров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выраженных, резко выраженных нарушениях статодинамической функции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9.5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I80-I89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Болезни вен, лимфатических сосудов и </w:t>
            </w:r>
            <w:r>
              <w:t>лимфатических узлов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4B7039">
            <w:pPr>
              <w:rPr>
                <w:sz w:val="20"/>
                <w:szCs w:val="20"/>
              </w:rPr>
            </w:pP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X. БОЛЕЗНИ ОРГАНОВ ДЫХАНИЯ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10.1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J31.0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Озена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 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10.2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J96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Дыхательная недостаточность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II, III степени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XI. БОЛЕЗНИ ОРГАНОВ ПИЩЕВАРЕНИЯ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11.1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K73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Хронический гепатит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высокой лабораторной активности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11.2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K74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Фиброз и цирроз печени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тяжести В и С по Чайлд-Пью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XII. БОЛЕЗНИ КОЖИ И ПОДКОЖНОЙ КЛЕТЧАТКИ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12.1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L10-L14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Буллезные нарушения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Распространенные формы с тяжелым течением, резистентные к терапии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13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XIII. БОЛЕЗНИ КОСТНО-МЫШЕЧНОЙ СИСТЕМЫ И СОЕДИНИТЕЛЬНОЙ ТКАНИ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13.1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М00-М99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Болезни костно-мышечной системы и соединительной ткани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При выраженных, резко выраженных нарушениях статодинамической функции и (или) выраженных, резко выраженных нарушениях </w:t>
            </w:r>
            <w:r>
              <w:t>манипуляционной функции обеих кистей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14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XIV. БОЛЕЗНИ МОЧЕПОЛОВОЙ СИСТЕМЫ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14.1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N18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Хроническая болезнь почек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хронической болезни почек С4, С5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14.2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N31, N39.3, N39.4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Нервно-мышечная дисфункция мочевого пузыря, непроизвольное мочеиспускание, недержание мочи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выраженных или резко выраженных нарушениях функций выделения вследствие недержания мочи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XVII. ВРОЖДЕННЫЕ АНОМАЛИИ (ПОРОКИ РАЗВИТИЯ), ДЕФОРМАЦИИ И ХРОМО</w:t>
            </w:r>
            <w:r>
              <w:t>СОМНЫЕ НАРУШЕНИЯ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15.1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Q00-Q07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Врожденные аномалии (пороки развития) нервной системы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выраженных, резко выраженных нарушениях статодинамической функции и (или) выраженных, резко выраженных нарушениях функций выделения вследствие недержания кала и (или</w:t>
            </w:r>
            <w:r>
              <w:t>) мочи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15.2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Q15.0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Врожденная глаукома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выраженных, резко выраженных нарушениях сенсорных функций (зрения)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15.3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Q38-Q45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Врожденные аномалии (пороки развития) органов пищеварения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выраженных, резко выраженных нарушениях функций выделения вследствие недержания кала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15.4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Q50-Q56, Q60-Q64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Врожденные аномалии (пороки развития) половых органов и мочевой системы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выраженных, резко выраженных нарушениях функций выделения вследствие недержания кала и (или) мочи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15.5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Q65-Q79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Врожденные аномалии (пороки развития) и деформации костно-мышечной системы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выраженных, резко выраженных нарушениях статодинамической фун</w:t>
            </w:r>
            <w:r>
              <w:t>кции и (или) выраженных, резко выраженных нарушениях манипуляционной функции обеих кистей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16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XIX. ТРАВМЫ, ОТРАВЛЕНИЯ И НЕКОТОРЫЕ ДРУГИЕ ПОСЛЕДСТВИЯ ВОЗДЕЙСТВИЯ ВНЕШНИХ ПРИЧИН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16.1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S06, S10-S99, T00-T07, T20-T32, T90-T98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Травмы головы, шеи, грудно</w:t>
            </w:r>
            <w:r>
              <w:t>й клетки, живота, нижней части спины, поясничного отдела позвоночника и таза, плечевого пояса и плеча, локтя и предплечья, запястья и кисти, области тазобедренного сустава и бедра, колена и голени, голеностопного сустава и стопы, травмы, захватывающие неск</w:t>
            </w:r>
            <w:r>
              <w:t>олько областей тела, термические и химические ожоги, а также последствия травм, отравлений и других воздействий внешних причин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последствиях травмы с выраженными, резко выраженными нарушениями статодинамической функции и (или) выраженными, резко выражен</w:t>
            </w:r>
            <w:r>
              <w:t>ными нарушениями манипуляционной функции обеих кистей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17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КЛАСС XXI. ФАКТОРЫ, ВЛИЯЮЩИЕ НА СОСТОЯНИЕ ЗДОРОВЬЯ НАСЕЛЕНИЯ И ОБРАЩЕНИЯ </w:t>
            </w:r>
            <w:r>
              <w:lastRenderedPageBreak/>
              <w:t>В УЧРЕЖДЕНИЯ ЗДРАВООХРАНЕНИЯ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lastRenderedPageBreak/>
              <w:t>17.1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Z94.0-Z94.4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Наличие трансплантированных органов и тканей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В течение первых двух лет после трансплантации органа</w:t>
            </w:r>
          </w:p>
        </w:tc>
      </w:tr>
      <w:tr w:rsidR="00000000">
        <w:trPr>
          <w:divId w:val="507911446"/>
          <w:trHeight w:val="240"/>
        </w:trPr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18</w:t>
            </w:r>
          </w:p>
        </w:tc>
        <w:tc>
          <w:tcPr>
            <w:tcW w:w="47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Заболевания, не вошедшие в настоящий перечень и приведшие к ограничениям жизнедеятельности:</w:t>
            </w:r>
            <w:r>
              <w:br/>
              <w:t>способности контролировать свое поведение функционального класса 1, 2, 3, 4;</w:t>
            </w:r>
            <w:r>
              <w:br/>
              <w:t>способности к ориентации функ</w:t>
            </w:r>
            <w:r>
              <w:t>ционального класса 3, 4;</w:t>
            </w:r>
            <w:r>
              <w:br/>
              <w:t>способности к общению функционального класса 3, 4;</w:t>
            </w:r>
            <w:r>
              <w:br/>
              <w:t>способности к самообслуживанию функционального класса 3, 4;</w:t>
            </w:r>
            <w:r>
              <w:br/>
              <w:t>способности к самостоятельному передвижению функционального класса 3, 4</w:t>
            </w:r>
          </w:p>
        </w:tc>
      </w:tr>
    </w:tbl>
    <w:p w:rsidR="00000000" w:rsidRDefault="004B7039">
      <w:pPr>
        <w:divId w:val="507911446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5079114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B7039">
            <w:pPr>
              <w:rPr>
                <w:rFonts w:eastAsia="Times New Roman"/>
              </w:rPr>
            </w:pPr>
          </w:p>
        </w:tc>
      </w:tr>
    </w:tbl>
    <w:p w:rsidR="00000000" w:rsidRDefault="004B7039">
      <w:pPr>
        <w:pStyle w:val="newncpi"/>
        <w:divId w:val="50791144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3603"/>
      </w:tblGrid>
      <w:tr w:rsidR="00000000">
        <w:trPr>
          <w:divId w:val="507911446"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append1"/>
            </w:pPr>
            <w:bookmarkStart w:id="4" w:name="a2"/>
            <w:bookmarkEnd w:id="4"/>
            <w:r>
              <w:t>Приложение 2</w:t>
            </w:r>
          </w:p>
          <w:p w:rsidR="00000000" w:rsidRDefault="004B7039">
            <w:pPr>
              <w:pStyle w:val="append"/>
            </w:pPr>
            <w:r>
              <w:t xml:space="preserve">к </w:t>
            </w:r>
            <w:hyperlink w:anchor="a3" w:tooltip="+" w:history="1">
              <w:r>
                <w:rPr>
                  <w:rStyle w:val="a3"/>
                </w:rPr>
                <w:t>постановлению</w:t>
              </w:r>
            </w:hyperlink>
            <w:r>
              <w:t xml:space="preserve"> </w:t>
            </w:r>
            <w:r>
              <w:br/>
              <w:t xml:space="preserve">Министерства здравоохранения </w:t>
            </w:r>
            <w:r>
              <w:br/>
              <w:t xml:space="preserve">Республики Беларусь </w:t>
            </w:r>
            <w:r>
              <w:br/>
              <w:t xml:space="preserve">15.12.2017 № 108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здравоохранения </w:t>
            </w:r>
            <w:r>
              <w:br/>
              <w:t xml:space="preserve">Республики Беларусь </w:t>
            </w:r>
            <w:r>
              <w:br/>
              <w:t xml:space="preserve">09.08.2022 № 81) </w:t>
            </w:r>
          </w:p>
        </w:tc>
      </w:tr>
    </w:tbl>
    <w:p w:rsidR="00000000" w:rsidRDefault="004B7039">
      <w:pPr>
        <w:pStyle w:val="titlep"/>
        <w:jc w:val="left"/>
        <w:divId w:val="507911446"/>
      </w:pPr>
      <w:bookmarkStart w:id="5" w:name="a10"/>
      <w:bookmarkEnd w:id="5"/>
      <w:r>
        <w:t>ПЕРЕЧЕНЬ</w:t>
      </w:r>
      <w:r>
        <w:br/>
        <w:t>заболеваний, при наличии которых л</w:t>
      </w:r>
      <w:r>
        <w:t>ица не могут быть опекунами и попечителями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5"/>
        <w:gridCol w:w="2831"/>
        <w:gridCol w:w="3607"/>
        <w:gridCol w:w="3739"/>
      </w:tblGrid>
      <w:tr w:rsidR="00000000">
        <w:trPr>
          <w:divId w:val="507911446"/>
          <w:trHeight w:val="240"/>
        </w:trPr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B703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B7039">
            <w:pPr>
              <w:pStyle w:val="table10"/>
              <w:jc w:val="center"/>
            </w:pPr>
            <w:r>
              <w:t>Код заболевания в соответствии с Международной статистической классификацией болезней и проблем, связанных со здоровьем, десятого пересмотра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B7039">
            <w:pPr>
              <w:pStyle w:val="table10"/>
              <w:jc w:val="center"/>
            </w:pPr>
            <w:r>
              <w:t>Наименование заболевания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4B7039">
            <w:pPr>
              <w:pStyle w:val="table10"/>
              <w:jc w:val="center"/>
            </w:pPr>
            <w:r>
              <w:t>Примечание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I. НЕКОТОРЫЕ ИНФЕКЦИОННЫЕ И ПАРАЗИТАРНЫЕ БОЛЕЗНИ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A15-A19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Туберкулез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До прекращения диспансерного наблюдения 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А30 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Лепра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 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A50-A53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Инфекции, передающиеся преимущественно половым путем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До окончания лечения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B20-B24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Болезнь, вызванная вирусом иммунодефицита человека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сохранении определяемой вирусной нагрузки (более 500 копий вируса в 1 мкл крови)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II. НОВООБРАЗОВАНИЯ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С00-С80, С97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Злокачественные новообразования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При 2 (на период специального лечения) </w:t>
            </w:r>
            <w:r>
              <w:t>или 4 клинических группах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С81-С96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Злокачественные новообразования лимфоидной, кроветворной и родственных им тканей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До окончания специального лечения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3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III. БОЛЕЗНИ КРОВИ, КРОВЕТВОРНЫХ ОРГАНОВ И ОТДЕЛЬНЫЕ НАРУШЕНИЯ, ВОВЛЕКАЮЩИЕ ИММУННЫЙ МЕХАНИЗМ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D55-D59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Гемолитические анемии, апластические и другие анемии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После наступления ремиссии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D65-D68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Нарушения свертываемости крови (наследственные и приобретенные дефициты факторов свертываемости, геморрагические нарушения, обусловленные циркулиру</w:t>
            </w:r>
            <w:r>
              <w:t xml:space="preserve">ющими </w:t>
            </w:r>
            <w:r>
              <w:lastRenderedPageBreak/>
              <w:t>в крови антикоагулянтами)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lastRenderedPageBreak/>
              <w:t>Тяжелое течение (уровень дефицитного фактора свертывания крови менее 1 %)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lastRenderedPageBreak/>
              <w:t>3.3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D69.3, D69.4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Идиопатическая тромбоцитопеническая пурпура и другие первичные тромбоцитопении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После наступления ремиссии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3.4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D70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Агранулоцитоз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</w:t>
            </w:r>
            <w:r>
              <w:t xml:space="preserve"> уровне нейтрофилов в периферической крови 1,0 х 10</w:t>
            </w:r>
            <w:r>
              <w:rPr>
                <w:vertAlign w:val="superscript"/>
              </w:rPr>
              <w:t>9</w:t>
            </w:r>
            <w:r>
              <w:t>/л и ниже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IV. БОЛЕЗНИ ЭНДОКРИННОЙ СИСТЕМЫ, РАССТРОЙСТВА ПИТАНИЯ И НАРУШЕНИЯ ОБМЕНА ВЕЩЕСТВ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E40-E46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Недостаточность питания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энтерально-парентеральном или полном парентеральном питании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V. ПСИХИЧЕСКИЕ РАССТРОЙСТВА И РАССТРОЙСТВА ПОВЕДЕНИЯ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F00-F09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Органические, включая симптоматические, психические расстройства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За исключением органического тревожного расстройства (F06.4), органического эмоционального лабильного (астеническог</w:t>
            </w:r>
            <w:r>
              <w:t>о) расстройства (F06.6), органического тревожно-депрессивного расстройства (F06.8), легкого когнитивного расстройства (F06.7)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F10-F19, за исключением F1х. 6, F1х. 71, F1х. 73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Психические расстройства и расстройства поведения, связанные с употреблением</w:t>
            </w:r>
            <w:r>
              <w:t xml:space="preserve"> психоактивных веществ, за исключением амнестического синдрома, расстройства личности и поведения, деменции, вызванной употреблением психоактивных веществ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отсутствии ремиссии более 5 лет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F1х. 6, F1х. 71, F1х. 73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Амнестический синдром, расстройство личности и поведения, деменция, вызванные употреблением психоактивных веществ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 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5.4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F20-F29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Шизофрения, шизотипическое расстройство, бредовые расстройства, острые и транзиторные психотические расстройства, шизоаффективн</w:t>
            </w:r>
            <w:r>
              <w:t>ые расстройства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 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5.5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F30-F39, за исключением F32.0-F32.1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Аффективные расстройства, за исключением депрессивного эпизода легкой и средней степени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До прекращения диспансерного наблюдения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5.6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F44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Диссоциативное (конверсионное) расстройство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 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5.7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F50-F59, </w:t>
            </w:r>
            <w:r>
              <w:t>за исключением F51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Поведенческие синдромы, связанные с физиологическими нарушениями и физическими факторами, за исключением расстройства сна неорганической природы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До прекращения диспансерного наблюдения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5.8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F60-F69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Расстройства личности и поведения в </w:t>
            </w:r>
            <w:r>
              <w:t>зрелом возрасте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 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5.9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F70-F79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Умственная отсталость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За исключением легкой умственной отсталости (F70) с незначительными</w:t>
            </w:r>
            <w:r>
              <w:br/>
              <w:t xml:space="preserve">ограничениями способности контролировать свое поведение 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6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VI. БОЛЕЗНИ НЕРВНОЙ СИСТЕМЫ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G00-G37, G54-G99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Болезни нервной с</w:t>
            </w:r>
            <w:r>
              <w:t>истемы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заболеваниях и их последствиях заболеваний с резко выраженными нарушениями статодинамической функции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G40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Эпилепсия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частых (более 4 в месяц) дневных генерализованных и (или) вторично генерализованных приступах на фоне фармакорезистентнос</w:t>
            </w:r>
            <w:r>
              <w:t xml:space="preserve">ти 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7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VII. БОЛЕЗНИ ГЛАЗА И ЕГО ПРИДАТОЧНОГО АППАРАТА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Н15-Н22, Н30-Н36, Н46-Н48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Болезни склеры, роговицы, радужной оболочки и цилиарного тела, сосудистой </w:t>
            </w:r>
            <w:r>
              <w:lastRenderedPageBreak/>
              <w:t>оболочки и сетчатки, зрительного нерва и зрительных путей</w:t>
            </w:r>
          </w:p>
        </w:tc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lastRenderedPageBreak/>
              <w:t>Резко выраженные нарушения сенсорных функций (зрения)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lastRenderedPageBreak/>
              <w:t>7.2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Н40-Н42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Глаукома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4B7039">
            <w:pPr>
              <w:rPr>
                <w:sz w:val="20"/>
                <w:szCs w:val="20"/>
              </w:rPr>
            </w:pP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8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КЛАСС IX. БОЛЕЗНИ СИСТЕМЫ КРОВООБРАЩЕНИЯ 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8.1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I20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Стенокардия 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Функциональный класс IV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8.2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I46-I49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Нарушения ритма и (или) проводимости сердца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резко выраженном нарушении гемодинамики, коронарного кровообращения и (или) синкопальных состояниях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8.3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I50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Сердечная недостаточность 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Н3 стадии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8.4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I70-I79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Болезни артерий, артериол и капилляров</w:t>
            </w:r>
          </w:p>
        </w:tc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резко выраженных нарушениях статодинамической функ</w:t>
            </w:r>
            <w:r>
              <w:t>ции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8.5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I80-I89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Болезни вен, лимфатических сосудов и лимфатических узлов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4B7039">
            <w:pPr>
              <w:rPr>
                <w:sz w:val="20"/>
                <w:szCs w:val="20"/>
              </w:rPr>
            </w:pP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9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X. БОЛЕЗНИ ОРГАНОВ ДЫХАНИЯ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9.1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J31.0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Озена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 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9.2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J96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Дыхательная недостаточность 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III степени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XI. БОЛЕЗНИ ОРГАНОВ ПИЩЕВАРЕНИЯ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10.1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K74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Фиброз и </w:t>
            </w:r>
            <w:r>
              <w:t>цирроз печени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тяжести С по Чайлд-Пью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XII. БОЛЕЗНИ КОЖИ И ПОДКОЖНОЙ КЛЕТЧАТКИ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11.1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L10-L14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Буллезные нарушения 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Распространенные формы с тяжелым</w:t>
            </w:r>
            <w:r>
              <w:br/>
              <w:t>течением, резистентные к терапии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XIII. БОЛЕЗНИ КОСТНО-МЫШЕЧНОЙ СИСТЕМЫ И </w:t>
            </w:r>
            <w:r>
              <w:t>СОЕДИНИТЕЛЬНОЙ ТКАНИ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12.1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М00-М99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Болезни костно-мышечной системы и соединительной ткани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резко выраженных нарушениях статодинамической функции и (или) резко выраженных нарушениях манипуляционной функции обеих кистей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13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XIV. БОЛЕЗНИ МОЧЕПОЛОВО</w:t>
            </w:r>
            <w:r>
              <w:t>Й СИСТЕМЫ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13.1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N18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Хроническая болезнь почек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хронической болезни почек С5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14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XIX. ТРАВМЫ, ОТРАВЛЕНИЯ И НЕКОТОРЫЕ ДРУГИЕ ПОСЛЕДСТВИЯ ВОЗДЕЙСТВИЯ ВНЕШНИХ ПРИЧИН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14.1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S06, S10-S99, T00-T07, T20-T32, T90-T98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 xml:space="preserve">Травмы головы, шеи, грудной клетки, живота, нижней части спины, поясничного отдела позвоночника и таза, плечевого пояса и плеча, локтя и предплечья, запястья и кисти, области тазобедренного сустава и бедра, колена и голени, голеностопного сустава и стопы, </w:t>
            </w:r>
            <w:r>
              <w:t>травмы, захватывающие несколько областей тела, термические и химические ожоги, а также последствия травм, отравлений и других воздействий внешних причин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При последствиях травмы с резко выраженными нарушениями статодинамической функции и (или) резко выражен</w:t>
            </w:r>
            <w:r>
              <w:t>ными нарушениями манипуляционной функции обеих кистей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КЛАСС XXI. ФАКТОРЫ, ВЛИЯЮЩИЕ НА СОСТОЯНИЕ ЗДОРОВЬЯ НАСЕЛЕНИЯ И ОБРАЩЕНИЯ В УЧРЕЖДЕНИЯ ЗДРАВООХРАНЕНИЯ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15.1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Z94.0-Z94.4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Наличие трансплантированных органов и тканей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До двух лет после трансплантаци</w:t>
            </w:r>
            <w:r>
              <w:t>и органа</w:t>
            </w:r>
          </w:p>
        </w:tc>
      </w:tr>
      <w:tr w:rsidR="00000000">
        <w:trPr>
          <w:divId w:val="507911446"/>
          <w:trHeight w:val="240"/>
        </w:trPr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  <w:jc w:val="center"/>
            </w:pPr>
            <w:r>
              <w:t>16</w:t>
            </w:r>
          </w:p>
        </w:tc>
        <w:tc>
          <w:tcPr>
            <w:tcW w:w="47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4B7039">
            <w:pPr>
              <w:pStyle w:val="table10"/>
            </w:pPr>
            <w:r>
              <w:t>Заболевания, не вошедшие в настоящий перечень и приведшие к ограничениям жизнедеятельности:</w:t>
            </w:r>
            <w:r>
              <w:br/>
              <w:t>способности контролировать свое поведение функционального класса 2, 3, 4;</w:t>
            </w:r>
            <w:r>
              <w:br/>
              <w:t>способности к ориентации функционального класса 4;</w:t>
            </w:r>
            <w:r>
              <w:br/>
              <w:t>способности к общению функ</w:t>
            </w:r>
            <w:r>
              <w:t>ционального класса 3, 4;</w:t>
            </w:r>
            <w:r>
              <w:br/>
              <w:t>способности к самообслуживанию функционального класса 4;</w:t>
            </w:r>
            <w:r>
              <w:br/>
              <w:t>способности к самостоятельному передвижению функционального класса 4</w:t>
            </w:r>
          </w:p>
        </w:tc>
      </w:tr>
    </w:tbl>
    <w:p w:rsidR="00000000" w:rsidRDefault="004B7039">
      <w:pPr>
        <w:divId w:val="507911446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5079114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B7039">
            <w:pPr>
              <w:rPr>
                <w:rFonts w:eastAsia="Times New Roman"/>
              </w:rPr>
            </w:pPr>
          </w:p>
        </w:tc>
      </w:tr>
    </w:tbl>
    <w:p w:rsidR="004B7039" w:rsidRDefault="004B7039">
      <w:pPr>
        <w:pStyle w:val="newncpi"/>
        <w:divId w:val="507911446"/>
      </w:pPr>
      <w:r>
        <w:t> </w:t>
      </w:r>
    </w:p>
    <w:sectPr w:rsidR="004B703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12"/>
    <w:rsid w:val="004B7039"/>
    <w:rsid w:val="00742DFB"/>
    <w:rsid w:val="00C0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BED51-BCD6-4B44-9B2F-495A600F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1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1\1\1\01\01\01\01\01\01\01\001\01\01\01\16\tx.dll%3fd=224149&amp;a=1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1\1\1\01\01\01\01\01\01\01\001\01\01\01\16\tx.dll%3fd=33383&amp;a=17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1\1\1\01\01\01\01\01\01\01\001\01\01\01\16\tx.dll%3fd=33383&amp;a=1605" TargetMode="External"/><Relationship Id="rId5" Type="http://schemas.openxmlformats.org/officeDocument/2006/relationships/hyperlink" Target="file:///D:\1\1\1\01\01\01\01\01\01\01\001\01\01\01\16\tx.dll%3fd=33383&amp;a=1598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D:\1\1\1\01\01\01\01\01\01\01\001\01\01\01\16\tx.dll%3fd=610691&amp;a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1</cp:revision>
  <dcterms:created xsi:type="dcterms:W3CDTF">2026-06-04T12:34:00Z</dcterms:created>
  <dcterms:modified xsi:type="dcterms:W3CDTF">2026-06-04T12:35:00Z</dcterms:modified>
</cp:coreProperties>
</file>